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4A3CA">
      <w:pPr>
        <w:rPr>
          <w:rFonts w:hint="eastAsia" w:ascii="宋体" w:hAnsi="宋体" w:eastAsia="宋体" w:cs="宋体"/>
          <w:b/>
          <w:bCs/>
          <w:sz w:val="44"/>
          <w:szCs w:val="44"/>
          <w:lang w:val="en-US" w:eastAsia="zh-CN"/>
        </w:rPr>
      </w:pPr>
      <w:r>
        <w:rPr>
          <w:rFonts w:hint="eastAsia" w:ascii="仿宋" w:hAnsi="仿宋" w:eastAsia="仿宋" w:cs="仿宋"/>
          <w:sz w:val="32"/>
          <w:szCs w:val="32"/>
          <w:lang w:val="en-US" w:eastAsia="zh-CN"/>
        </w:rPr>
        <w:t xml:space="preserve">附件3：                 </w:t>
      </w:r>
      <w:r>
        <w:rPr>
          <w:rFonts w:hint="eastAsia" w:ascii="宋体" w:hAnsi="宋体" w:eastAsia="宋体" w:cs="宋体"/>
          <w:b/>
          <w:bCs/>
          <w:sz w:val="44"/>
          <w:szCs w:val="44"/>
          <w:lang w:val="en-US" w:eastAsia="zh-CN"/>
        </w:rPr>
        <w:t>评分表</w:t>
      </w:r>
      <w:bookmarkStart w:id="0" w:name="_GoBack"/>
      <w:bookmarkEnd w:id="0"/>
    </w:p>
    <w:tbl>
      <w:tblPr>
        <w:tblStyle w:val="3"/>
        <w:tblW w:w="90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3"/>
        <w:gridCol w:w="816"/>
        <w:gridCol w:w="6604"/>
      </w:tblGrid>
      <w:tr w14:paraId="09E24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vAlign w:val="center"/>
          </w:tcPr>
          <w:p w14:paraId="5D6FB82E">
            <w:pPr>
              <w:spacing w:line="276" w:lineRule="auto"/>
              <w:jc w:val="center"/>
              <w:rPr>
                <w:rFonts w:hint="eastAsia" w:ascii="宋体" w:hAnsi="宋体" w:eastAsia="宋体" w:cs="宋体"/>
                <w:sz w:val="24"/>
              </w:rPr>
            </w:pPr>
            <w:r>
              <w:rPr>
                <w:rFonts w:hint="eastAsia" w:ascii="宋体" w:hAnsi="宋体" w:eastAsia="宋体" w:cs="宋体"/>
                <w:sz w:val="24"/>
              </w:rPr>
              <w:t>评标项目</w:t>
            </w:r>
          </w:p>
        </w:tc>
        <w:tc>
          <w:tcPr>
            <w:tcW w:w="816" w:type="dxa"/>
            <w:vAlign w:val="center"/>
          </w:tcPr>
          <w:p w14:paraId="21F9AB75">
            <w:pPr>
              <w:spacing w:line="276" w:lineRule="auto"/>
              <w:jc w:val="center"/>
              <w:rPr>
                <w:rFonts w:hint="eastAsia" w:ascii="宋体" w:hAnsi="宋体" w:eastAsia="宋体" w:cs="宋体"/>
                <w:sz w:val="24"/>
              </w:rPr>
            </w:pPr>
            <w:r>
              <w:rPr>
                <w:rFonts w:hint="eastAsia" w:ascii="宋体" w:hAnsi="宋体" w:eastAsia="宋体" w:cs="宋体"/>
                <w:sz w:val="24"/>
              </w:rPr>
              <w:t>评标分值</w:t>
            </w:r>
          </w:p>
        </w:tc>
        <w:tc>
          <w:tcPr>
            <w:tcW w:w="6604" w:type="dxa"/>
            <w:vAlign w:val="center"/>
          </w:tcPr>
          <w:p w14:paraId="02336CD1">
            <w:pPr>
              <w:spacing w:line="276" w:lineRule="auto"/>
              <w:jc w:val="center"/>
              <w:rPr>
                <w:rFonts w:hint="eastAsia" w:ascii="宋体" w:hAnsi="宋体" w:eastAsia="宋体" w:cs="宋体"/>
                <w:sz w:val="24"/>
              </w:rPr>
            </w:pPr>
            <w:r>
              <w:rPr>
                <w:rFonts w:hint="eastAsia" w:ascii="宋体" w:hAnsi="宋体" w:eastAsia="宋体" w:cs="宋体"/>
                <w:sz w:val="24"/>
              </w:rPr>
              <w:t>评标方法描述</w:t>
            </w:r>
          </w:p>
        </w:tc>
      </w:tr>
      <w:tr w14:paraId="2F0AD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shd w:val="clear" w:color="auto" w:fill="auto"/>
            <w:vAlign w:val="center"/>
          </w:tcPr>
          <w:p w14:paraId="480DBCEE">
            <w:pPr>
              <w:spacing w:line="276"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报价得分</w:t>
            </w:r>
          </w:p>
        </w:tc>
        <w:tc>
          <w:tcPr>
            <w:tcW w:w="816" w:type="dxa"/>
            <w:shd w:val="clear" w:color="auto" w:fill="auto"/>
            <w:vAlign w:val="center"/>
          </w:tcPr>
          <w:p w14:paraId="5215C1C1">
            <w:pPr>
              <w:spacing w:line="276"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30</w:t>
            </w:r>
          </w:p>
        </w:tc>
        <w:tc>
          <w:tcPr>
            <w:tcW w:w="6604" w:type="dxa"/>
            <w:shd w:val="clear" w:color="auto" w:fill="auto"/>
            <w:vAlign w:val="center"/>
          </w:tcPr>
          <w:p w14:paraId="286C066D">
            <w:pPr>
              <w:pStyle w:val="2"/>
              <w:spacing w:line="276" w:lineRule="auto"/>
              <w:rPr>
                <w:rFonts w:hint="eastAsia" w:ascii="宋体" w:hAnsi="宋体" w:eastAsia="宋体" w:cs="宋体"/>
              </w:rPr>
            </w:pPr>
            <w:r>
              <w:rPr>
                <w:rFonts w:hint="eastAsia" w:ascii="宋体" w:hAnsi="宋体" w:eastAsia="宋体" w:cs="宋体"/>
              </w:rPr>
              <w:t>投标报价得分计算方法：</w:t>
            </w:r>
          </w:p>
          <w:p w14:paraId="0E71CA44">
            <w:pPr>
              <w:pStyle w:val="2"/>
              <w:spacing w:line="276" w:lineRule="auto"/>
              <w:rPr>
                <w:rFonts w:hint="eastAsia" w:ascii="宋体" w:hAnsi="宋体" w:eastAsia="宋体" w:cs="宋体"/>
              </w:rPr>
            </w:pPr>
            <w:r>
              <w:rPr>
                <w:rFonts w:hint="eastAsia" w:ascii="宋体" w:hAnsi="宋体" w:eastAsia="宋体" w:cs="宋体"/>
              </w:rPr>
              <w:t>1.投标价格评分采用低价优先法计算；</w:t>
            </w:r>
          </w:p>
          <w:p w14:paraId="2BF044FE">
            <w:pPr>
              <w:pStyle w:val="2"/>
              <w:spacing w:line="276" w:lineRule="auto"/>
              <w:rPr>
                <w:rFonts w:hint="eastAsia" w:ascii="宋体" w:hAnsi="宋体" w:eastAsia="宋体" w:cs="宋体"/>
              </w:rPr>
            </w:pPr>
            <w:r>
              <w:rPr>
                <w:rFonts w:hint="eastAsia" w:ascii="宋体" w:hAnsi="宋体" w:eastAsia="宋体" w:cs="宋体"/>
              </w:rPr>
              <w:t>2.评标基准价：满足招标文件要求的最低报价为评标基准价；</w:t>
            </w:r>
          </w:p>
          <w:p w14:paraId="1B251200">
            <w:pPr>
              <w:pStyle w:val="2"/>
              <w:spacing w:line="276" w:lineRule="auto"/>
              <w:rPr>
                <w:rFonts w:hint="eastAsia" w:ascii="宋体" w:hAnsi="宋体" w:eastAsia="宋体" w:cs="宋体"/>
              </w:rPr>
            </w:pPr>
            <w:r>
              <w:rPr>
                <w:rFonts w:hint="eastAsia" w:ascii="宋体" w:hAnsi="宋体" w:eastAsia="宋体" w:cs="宋体"/>
              </w:rPr>
              <w:t>3.投标报价得分=(评标基准价／投标报价)×100×30%</w:t>
            </w:r>
          </w:p>
          <w:p w14:paraId="6D910BCD">
            <w:pPr>
              <w:pStyle w:val="2"/>
              <w:spacing w:line="276" w:lineRule="auto"/>
              <w:rPr>
                <w:rFonts w:hint="eastAsia" w:ascii="宋体" w:hAnsi="宋体" w:eastAsia="宋体" w:cs="宋体"/>
              </w:rPr>
            </w:pPr>
            <w:r>
              <w:rPr>
                <w:rFonts w:hint="eastAsia" w:ascii="宋体" w:hAnsi="宋体" w:eastAsia="宋体" w:cs="宋体"/>
              </w:rPr>
              <w:t>4.评分分值计算保留小数点后两位，小数点后三位“四舍五入”。</w:t>
            </w:r>
          </w:p>
          <w:p w14:paraId="2BC9A0E5">
            <w:pPr>
              <w:pStyle w:val="2"/>
              <w:spacing w:line="276" w:lineRule="auto"/>
              <w:rPr>
                <w:rFonts w:hint="eastAsia" w:ascii="宋体" w:hAnsi="宋体" w:eastAsia="宋体" w:cs="宋体"/>
                <w:kern w:val="2"/>
                <w:sz w:val="24"/>
                <w:szCs w:val="24"/>
                <w:lang w:val="en-US" w:eastAsia="zh-CN" w:bidi="ar-SA"/>
              </w:rPr>
            </w:pPr>
            <w:r>
              <w:rPr>
                <w:rFonts w:hint="eastAsia" w:ascii="宋体" w:hAnsi="宋体" w:eastAsia="宋体" w:cs="宋体"/>
              </w:rPr>
              <w:t>5.投标人不得低于成本或市场价恶意竞标，评标委员会认为投标人的报价明显低于其他通过符合性审查投标人的报价，有可能影响项目质量或者不能诚信履约的，评标委员会有权要求其在评标现场合理的时间内提供书面说明，必要时提交相关证明材料；投标人如不能证明其报价合理性的，评标委员会应当将其作为无效投标处理。</w:t>
            </w:r>
          </w:p>
        </w:tc>
      </w:tr>
      <w:tr w14:paraId="7E58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vAlign w:val="center"/>
          </w:tcPr>
          <w:p w14:paraId="4D34BC08">
            <w:pPr>
              <w:spacing w:line="300" w:lineRule="exact"/>
              <w:jc w:val="center"/>
              <w:rPr>
                <w:rFonts w:hint="eastAsia" w:ascii="宋体" w:hAnsi="宋体" w:eastAsia="宋体" w:cs="宋体"/>
                <w:sz w:val="24"/>
              </w:rPr>
            </w:pPr>
            <w:r>
              <w:rPr>
                <w:rFonts w:hint="eastAsia" w:ascii="宋体" w:hAnsi="宋体" w:eastAsia="宋体" w:cs="宋体"/>
                <w:sz w:val="24"/>
                <w:lang w:val="en-US" w:eastAsia="zh-CN"/>
              </w:rPr>
              <w:t>技术参数要求</w:t>
            </w:r>
          </w:p>
        </w:tc>
        <w:tc>
          <w:tcPr>
            <w:tcW w:w="816" w:type="dxa"/>
            <w:vAlign w:val="center"/>
          </w:tcPr>
          <w:p w14:paraId="7B1E69FA">
            <w:pPr>
              <w:spacing w:line="30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25</w:t>
            </w:r>
          </w:p>
        </w:tc>
        <w:tc>
          <w:tcPr>
            <w:tcW w:w="6604" w:type="dxa"/>
            <w:vAlign w:val="center"/>
          </w:tcPr>
          <w:p w14:paraId="58D48B50">
            <w:pPr>
              <w:jc w:val="left"/>
              <w:rPr>
                <w:rFonts w:hint="default" w:ascii="宋体" w:hAnsi="宋体" w:eastAsia="宋体" w:cs="宋体"/>
                <w:sz w:val="24"/>
              </w:rPr>
            </w:pPr>
            <w:r>
              <w:rPr>
                <w:rFonts w:hint="eastAsia" w:ascii="宋体" w:hAnsi="宋体" w:eastAsia="宋体" w:cs="宋体"/>
                <w:sz w:val="24"/>
              </w:rPr>
              <w:t>1、供应商须对照</w:t>
            </w:r>
            <w:r>
              <w:rPr>
                <w:rFonts w:hint="eastAsia" w:ascii="宋体" w:hAnsi="宋体" w:eastAsia="宋体" w:cs="宋体"/>
                <w:sz w:val="24"/>
                <w:lang w:val="en-US" w:eastAsia="zh-CN"/>
              </w:rPr>
              <w:t>公告</w:t>
            </w:r>
            <w:r>
              <w:rPr>
                <w:rFonts w:hint="eastAsia" w:ascii="宋体" w:hAnsi="宋体" w:eastAsia="宋体" w:cs="宋体"/>
                <w:sz w:val="24"/>
              </w:rPr>
              <w:t>内容逐条在《技术</w:t>
            </w:r>
            <w:r>
              <w:rPr>
                <w:rFonts w:hint="eastAsia" w:ascii="宋体" w:hAnsi="宋体" w:eastAsia="宋体" w:cs="宋体"/>
                <w:sz w:val="24"/>
                <w:lang w:val="en-US" w:eastAsia="zh-CN"/>
              </w:rPr>
              <w:t>参数</w:t>
            </w:r>
            <w:r>
              <w:rPr>
                <w:rFonts w:hint="eastAsia" w:ascii="宋体" w:hAnsi="宋体" w:eastAsia="宋体" w:cs="宋体"/>
                <w:sz w:val="24"/>
              </w:rPr>
              <w:t>要求应答表》中列明响应内容及是否偏离等情况，要求提供相关证明资料，须在“备注”栏说明证明资料在《投标文件》的具体位置或页码），满足所有参数得</w:t>
            </w:r>
            <w:r>
              <w:rPr>
                <w:rFonts w:hint="eastAsia" w:ascii="宋体" w:hAnsi="宋体" w:eastAsia="宋体" w:cs="宋体"/>
                <w:sz w:val="24"/>
                <w:lang w:val="en-US" w:eastAsia="zh-CN"/>
              </w:rPr>
              <w:t>25</w:t>
            </w:r>
            <w:r>
              <w:rPr>
                <w:rFonts w:hint="eastAsia" w:ascii="宋体" w:hAnsi="宋体" w:eastAsia="宋体" w:cs="宋体"/>
                <w:sz w:val="24"/>
              </w:rPr>
              <w:t>分</w:t>
            </w:r>
            <w:r>
              <w:rPr>
                <w:rFonts w:hint="eastAsia" w:ascii="宋体" w:hAnsi="宋体" w:eastAsia="宋体" w:cs="宋体"/>
                <w:sz w:val="24"/>
                <w:lang w:eastAsia="zh-CN"/>
              </w:rPr>
              <w:t>，</w:t>
            </w:r>
            <w:r>
              <w:rPr>
                <w:rFonts w:hint="eastAsia" w:ascii="宋体" w:hAnsi="宋体" w:eastAsia="宋体" w:cs="宋体"/>
                <w:sz w:val="24"/>
                <w:lang w:val="en-US" w:eastAsia="zh-CN"/>
              </w:rPr>
              <w:t>标</w:t>
            </w:r>
            <w:r>
              <w:rPr>
                <w:rFonts w:hint="eastAsia" w:ascii="宋体" w:hAnsi="宋体" w:eastAsia="宋体" w:cs="宋体"/>
                <w:sz w:val="24"/>
                <w:lang w:eastAsia="zh-CN"/>
              </w:rPr>
              <w:t>★</w:t>
            </w:r>
            <w:r>
              <w:rPr>
                <w:rFonts w:hint="eastAsia" w:ascii="宋体" w:hAnsi="宋体" w:eastAsia="宋体" w:cs="宋体"/>
                <w:sz w:val="24"/>
                <w:lang w:val="en-US" w:eastAsia="zh-CN"/>
              </w:rPr>
              <w:t>为实质性条款，必须满足。普通参数分值=总分25分/条数。</w:t>
            </w:r>
          </w:p>
          <w:p w14:paraId="6CF160B0">
            <w:pPr>
              <w:spacing w:before="156" w:beforeLines="50" w:after="156" w:afterLines="50" w:line="300" w:lineRule="exact"/>
              <w:rPr>
                <w:rFonts w:hint="eastAsia" w:ascii="宋体" w:hAnsi="宋体" w:eastAsia="宋体" w:cs="宋体"/>
                <w:sz w:val="24"/>
              </w:rPr>
            </w:pPr>
            <w:r>
              <w:rPr>
                <w:rFonts w:hint="eastAsia" w:ascii="宋体" w:hAnsi="宋体" w:eastAsia="宋体" w:cs="宋体"/>
                <w:sz w:val="24"/>
              </w:rPr>
              <w:t>2、对</w:t>
            </w:r>
            <w:r>
              <w:rPr>
                <w:rFonts w:hint="eastAsia" w:ascii="宋体" w:hAnsi="宋体" w:eastAsia="宋体" w:cs="宋体"/>
                <w:sz w:val="24"/>
                <w:lang w:val="en-US" w:eastAsia="zh-CN"/>
              </w:rPr>
              <w:t>技术参数要求</w:t>
            </w:r>
            <w:r>
              <w:rPr>
                <w:rFonts w:hint="eastAsia" w:ascii="宋体" w:hAnsi="宋体" w:eastAsia="宋体" w:cs="宋体"/>
                <w:sz w:val="24"/>
              </w:rPr>
              <w:t>中每出现一条负偏离，按</w:t>
            </w:r>
            <w:r>
              <w:rPr>
                <w:rFonts w:hint="eastAsia" w:ascii="宋体" w:hAnsi="宋体" w:eastAsia="宋体" w:cs="宋体"/>
                <w:sz w:val="24"/>
                <w:lang w:val="en-US" w:eastAsia="zh-CN"/>
              </w:rPr>
              <w:t>相应分值</w:t>
            </w:r>
            <w:r>
              <w:rPr>
                <w:rFonts w:hint="eastAsia" w:ascii="宋体" w:hAnsi="宋体" w:eastAsia="宋体" w:cs="宋体"/>
                <w:sz w:val="24"/>
              </w:rPr>
              <w:t>扣分，</w:t>
            </w:r>
            <w:r>
              <w:rPr>
                <w:rFonts w:hint="eastAsia" w:ascii="宋体" w:hAnsi="宋体" w:eastAsia="宋体" w:cs="宋体"/>
                <w:sz w:val="24"/>
                <w:lang w:val="en-US" w:eastAsia="zh-CN"/>
              </w:rPr>
              <w:t>25</w:t>
            </w:r>
            <w:r>
              <w:rPr>
                <w:rFonts w:hint="eastAsia" w:ascii="宋体" w:hAnsi="宋体" w:eastAsia="宋体" w:cs="宋体"/>
                <w:sz w:val="24"/>
              </w:rPr>
              <w:t xml:space="preserve">分扣完为止。 </w:t>
            </w:r>
          </w:p>
          <w:p w14:paraId="03173DF9">
            <w:pPr>
              <w:spacing w:before="156" w:beforeLines="50" w:after="156" w:afterLines="50" w:line="300" w:lineRule="exact"/>
              <w:rPr>
                <w:rFonts w:hint="eastAsia" w:ascii="宋体" w:hAnsi="宋体" w:eastAsia="宋体" w:cs="宋体"/>
                <w:sz w:val="24"/>
              </w:rPr>
            </w:pPr>
            <w:r>
              <w:rPr>
                <w:rFonts w:hint="eastAsia" w:ascii="宋体" w:hAnsi="宋体" w:eastAsia="宋体" w:cs="宋体"/>
                <w:sz w:val="24"/>
              </w:rPr>
              <w:t>注：1.投标人须对本采购文件技术要求进行点对点应答，必须根据本采购文件的要求,结合所投产品的实际参数值，进行逐条逐项答复、说明和解释。</w:t>
            </w:r>
          </w:p>
          <w:p w14:paraId="2DB11AA7">
            <w:pPr>
              <w:spacing w:before="156" w:beforeLines="50" w:after="156" w:afterLines="50" w:line="300" w:lineRule="exact"/>
              <w:rPr>
                <w:rFonts w:hint="eastAsia" w:ascii="宋体" w:hAnsi="宋体" w:eastAsia="宋体" w:cs="宋体"/>
              </w:rPr>
            </w:pPr>
            <w:r>
              <w:rPr>
                <w:rFonts w:hint="eastAsia" w:ascii="宋体" w:hAnsi="宋体" w:eastAsia="宋体" w:cs="宋体"/>
                <w:sz w:val="24"/>
                <w:lang w:val="en-US" w:eastAsia="zh-CN"/>
              </w:rPr>
              <w:t>2</w:t>
            </w:r>
            <w:r>
              <w:rPr>
                <w:rFonts w:hint="eastAsia" w:ascii="宋体" w:hAnsi="宋体" w:eastAsia="宋体" w:cs="宋体"/>
                <w:sz w:val="24"/>
              </w:rPr>
              <w:t>.技术参数提供相关的证明材料，包含但不限于（产品彩页、功能截图、证书、查询链接、检测报告等）未提供或不符合要求的，视为不响应技术参数。</w:t>
            </w:r>
          </w:p>
        </w:tc>
      </w:tr>
      <w:tr w14:paraId="05E8B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vAlign w:val="center"/>
          </w:tcPr>
          <w:p w14:paraId="1A517136">
            <w:pPr>
              <w:spacing w:line="300" w:lineRule="exact"/>
              <w:jc w:val="center"/>
              <w:rPr>
                <w:rFonts w:hint="eastAsia" w:ascii="宋体" w:hAnsi="宋体" w:eastAsia="宋体" w:cs="宋体"/>
                <w:sz w:val="24"/>
              </w:rPr>
            </w:pPr>
            <w:r>
              <w:rPr>
                <w:rFonts w:hint="eastAsia" w:ascii="宋体" w:hAnsi="宋体" w:eastAsia="宋体" w:cs="宋体"/>
                <w:sz w:val="24"/>
              </w:rPr>
              <w:t>配送及实施方案</w:t>
            </w:r>
          </w:p>
        </w:tc>
        <w:tc>
          <w:tcPr>
            <w:tcW w:w="816" w:type="dxa"/>
            <w:vAlign w:val="center"/>
          </w:tcPr>
          <w:p w14:paraId="4170DB17">
            <w:pPr>
              <w:spacing w:line="300" w:lineRule="exact"/>
              <w:jc w:val="center"/>
              <w:rPr>
                <w:rFonts w:hint="eastAsia" w:ascii="宋体" w:hAnsi="宋体" w:eastAsia="宋体" w:cs="宋体"/>
                <w:sz w:val="24"/>
              </w:rPr>
            </w:pPr>
            <w:r>
              <w:rPr>
                <w:rFonts w:hint="eastAsia" w:ascii="宋体" w:hAnsi="宋体" w:eastAsia="宋体" w:cs="宋体"/>
                <w:sz w:val="24"/>
              </w:rPr>
              <w:t>9</w:t>
            </w:r>
          </w:p>
        </w:tc>
        <w:tc>
          <w:tcPr>
            <w:tcW w:w="6604" w:type="dxa"/>
            <w:vAlign w:val="center"/>
          </w:tcPr>
          <w:p w14:paraId="2191DD38">
            <w:pPr>
              <w:spacing w:before="156" w:beforeLines="50" w:after="156" w:afterLines="50" w:line="300" w:lineRule="exact"/>
              <w:rPr>
                <w:rFonts w:hint="eastAsia" w:ascii="宋体" w:hAnsi="宋体" w:eastAsia="宋体" w:cs="宋体"/>
                <w:sz w:val="24"/>
              </w:rPr>
            </w:pPr>
            <w:r>
              <w:rPr>
                <w:rFonts w:hint="eastAsia" w:ascii="宋体" w:hAnsi="宋体" w:eastAsia="宋体" w:cs="宋体"/>
                <w:sz w:val="24"/>
              </w:rPr>
              <w:t xml:space="preserve">供应商针对本项目提供详细可行的方案，方案包含但不限于：（1）运输计划：从产品出厂到采购人指定地点的运输计划及时效等流程）(2)人员组织保障（本项目参与技术成员表及岗位分配表）(3)进度计划图（交货期、供货时间进度表）(每项得 3 分，最高得 9分；方案每有一项不符合项目实际情况扣 3 分，扣完为止； </w:t>
            </w:r>
          </w:p>
          <w:p w14:paraId="73E07B57">
            <w:pPr>
              <w:spacing w:before="156" w:beforeLines="50" w:after="156" w:afterLines="50" w:line="300" w:lineRule="exact"/>
              <w:rPr>
                <w:rFonts w:hint="eastAsia" w:ascii="宋体" w:hAnsi="宋体" w:eastAsia="宋体" w:cs="宋体"/>
                <w:sz w:val="24"/>
              </w:rPr>
            </w:pPr>
            <w:r>
              <w:rPr>
                <w:rFonts w:hint="eastAsia" w:ascii="宋体" w:hAnsi="宋体" w:eastAsia="宋体" w:cs="宋体"/>
                <w:sz w:val="24"/>
              </w:rPr>
              <w:t>(注：上述方案是否符合项目实际情况，有利于项目实施，由评标委员会综合评审）</w:t>
            </w:r>
          </w:p>
        </w:tc>
      </w:tr>
      <w:tr w14:paraId="29545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vAlign w:val="center"/>
          </w:tcPr>
          <w:p w14:paraId="4C88090D">
            <w:pPr>
              <w:spacing w:line="300" w:lineRule="exact"/>
              <w:jc w:val="center"/>
              <w:rPr>
                <w:rFonts w:hint="eastAsia" w:ascii="宋体" w:hAnsi="宋体" w:eastAsia="宋体" w:cs="宋体"/>
                <w:sz w:val="24"/>
              </w:rPr>
            </w:pPr>
            <w:r>
              <w:rPr>
                <w:rFonts w:hint="eastAsia" w:ascii="宋体" w:hAnsi="宋体" w:eastAsia="宋体" w:cs="宋体"/>
                <w:sz w:val="24"/>
              </w:rPr>
              <w:t>售后服务方案</w:t>
            </w:r>
          </w:p>
        </w:tc>
        <w:tc>
          <w:tcPr>
            <w:tcW w:w="816" w:type="dxa"/>
            <w:vAlign w:val="center"/>
          </w:tcPr>
          <w:p w14:paraId="19D0177C">
            <w:pPr>
              <w:spacing w:line="300" w:lineRule="exact"/>
              <w:jc w:val="center"/>
              <w:rPr>
                <w:rFonts w:hint="eastAsia" w:ascii="宋体" w:hAnsi="宋体" w:eastAsia="宋体" w:cs="宋体"/>
                <w:sz w:val="24"/>
                <w:lang w:eastAsia="zh-CN"/>
              </w:rPr>
            </w:pPr>
            <w:r>
              <w:rPr>
                <w:rFonts w:hint="eastAsia" w:ascii="宋体" w:hAnsi="宋体" w:eastAsia="宋体" w:cs="宋体"/>
                <w:sz w:val="24"/>
                <w:lang w:val="en-US" w:eastAsia="zh-CN"/>
              </w:rPr>
              <w:t>6</w:t>
            </w:r>
          </w:p>
        </w:tc>
        <w:tc>
          <w:tcPr>
            <w:tcW w:w="6604" w:type="dxa"/>
            <w:vAlign w:val="center"/>
          </w:tcPr>
          <w:p w14:paraId="5F21A8C4">
            <w:pPr>
              <w:spacing w:before="156" w:beforeLines="50" w:after="156" w:afterLines="50" w:line="400" w:lineRule="exact"/>
              <w:rPr>
                <w:rFonts w:hint="eastAsia" w:ascii="宋体" w:hAnsi="宋体" w:eastAsia="宋体" w:cs="宋体"/>
                <w:sz w:val="24"/>
              </w:rPr>
            </w:pPr>
            <w:r>
              <w:rPr>
                <w:rFonts w:hint="eastAsia" w:ascii="宋体" w:hAnsi="宋体" w:eastAsia="宋体" w:cs="宋体"/>
                <w:sz w:val="24"/>
              </w:rPr>
              <w:t xml:space="preserve">针对本项目提供切实可行的售后服务方案，方案内容包含：（1）售后巡检、维修、质量保证期限及范围；（2）售后服务人员、车辆、工器具投入；（3）售后期间应急预案；售后服务方案符合项目实际情况，有利于项目实施，每项得 </w:t>
            </w:r>
            <w:r>
              <w:rPr>
                <w:rFonts w:hint="eastAsia" w:ascii="宋体" w:hAnsi="宋体" w:eastAsia="宋体" w:cs="宋体"/>
                <w:sz w:val="24"/>
                <w:lang w:val="en-US" w:eastAsia="zh-CN"/>
              </w:rPr>
              <w:t>2</w:t>
            </w:r>
            <w:r>
              <w:rPr>
                <w:rFonts w:hint="eastAsia" w:ascii="宋体" w:hAnsi="宋体" w:eastAsia="宋体" w:cs="宋体"/>
                <w:sz w:val="24"/>
              </w:rPr>
              <w:t xml:space="preserve"> 分，最高得 3 分；方案每有一项措施不能施行或不符合项目实际情况扣 1 分，扣完为止；(注：上述方案是否符合项目实际情况，有利于项目实施，由评标委员会综合评审）</w:t>
            </w:r>
          </w:p>
        </w:tc>
      </w:tr>
      <w:tr w14:paraId="2A204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vAlign w:val="center"/>
          </w:tcPr>
          <w:p w14:paraId="31A82823">
            <w:pPr>
              <w:spacing w:line="300" w:lineRule="exact"/>
              <w:jc w:val="center"/>
              <w:rPr>
                <w:rFonts w:hint="eastAsia" w:ascii="宋体" w:hAnsi="宋体" w:eastAsia="宋体" w:cs="宋体"/>
                <w:sz w:val="24"/>
              </w:rPr>
            </w:pPr>
            <w:r>
              <w:rPr>
                <w:rFonts w:hint="eastAsia" w:ascii="宋体" w:hAnsi="宋体" w:eastAsia="宋体" w:cs="宋体"/>
                <w:sz w:val="24"/>
              </w:rPr>
              <w:t>样品</w:t>
            </w:r>
          </w:p>
        </w:tc>
        <w:tc>
          <w:tcPr>
            <w:tcW w:w="816" w:type="dxa"/>
            <w:vAlign w:val="center"/>
          </w:tcPr>
          <w:p w14:paraId="1B188415">
            <w:pPr>
              <w:spacing w:line="30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20</w:t>
            </w:r>
          </w:p>
        </w:tc>
        <w:tc>
          <w:tcPr>
            <w:tcW w:w="6604" w:type="dxa"/>
            <w:vAlign w:val="center"/>
          </w:tcPr>
          <w:p w14:paraId="168FEA68">
            <w:pPr>
              <w:spacing w:before="156" w:beforeLines="50" w:after="156" w:afterLines="50" w:line="300" w:lineRule="exact"/>
              <w:rPr>
                <w:rFonts w:hint="eastAsia" w:ascii="宋体" w:hAnsi="宋体" w:eastAsia="宋体" w:cs="宋体"/>
              </w:rPr>
            </w:pPr>
            <w:r>
              <w:rPr>
                <w:rFonts w:hint="eastAsia" w:ascii="宋体" w:hAnsi="宋体" w:eastAsia="宋体" w:cs="宋体"/>
                <w:sz w:val="24"/>
              </w:rPr>
              <w:t>需从外观设计、材料质量、工艺水平、包装完整性、规格符合性方面对样品进行评定，每项符合得</w:t>
            </w:r>
            <w:r>
              <w:rPr>
                <w:rFonts w:hint="eastAsia" w:ascii="宋体" w:hAnsi="宋体" w:eastAsia="宋体" w:cs="宋体"/>
                <w:sz w:val="24"/>
                <w:lang w:val="en-US" w:eastAsia="zh-CN"/>
              </w:rPr>
              <w:t>3</w:t>
            </w:r>
            <w:r>
              <w:rPr>
                <w:rFonts w:hint="eastAsia" w:ascii="宋体" w:hAnsi="宋体" w:eastAsia="宋体" w:cs="宋体"/>
                <w:sz w:val="24"/>
              </w:rPr>
              <w:t>分，不符合不得分，</w:t>
            </w:r>
            <w:r>
              <w:rPr>
                <w:rFonts w:hint="eastAsia" w:ascii="宋体" w:hAnsi="宋体" w:eastAsia="宋体" w:cs="宋体"/>
                <w:sz w:val="24"/>
                <w:lang w:val="en-US" w:eastAsia="zh-CN"/>
              </w:rPr>
              <w:t>最高得15分；如能提供可替代的可收费耗材，得5分，</w:t>
            </w:r>
            <w:r>
              <w:rPr>
                <w:rFonts w:hint="eastAsia" w:ascii="宋体" w:hAnsi="宋体" w:eastAsia="宋体" w:cs="宋体"/>
                <w:sz w:val="24"/>
              </w:rPr>
              <w:t>最高得</w:t>
            </w:r>
            <w:r>
              <w:rPr>
                <w:rFonts w:hint="eastAsia" w:ascii="宋体" w:hAnsi="宋体" w:eastAsia="宋体" w:cs="宋体"/>
                <w:sz w:val="24"/>
                <w:lang w:val="en-US" w:eastAsia="zh-CN"/>
              </w:rPr>
              <w:t>20</w:t>
            </w:r>
            <w:r>
              <w:rPr>
                <w:rFonts w:hint="eastAsia" w:ascii="宋体" w:hAnsi="宋体" w:eastAsia="宋体" w:cs="宋体"/>
                <w:sz w:val="24"/>
              </w:rPr>
              <w:t>分。</w:t>
            </w:r>
          </w:p>
        </w:tc>
      </w:tr>
      <w:tr w14:paraId="745B04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63" w:type="dxa"/>
            <w:shd w:val="clear" w:color="auto" w:fill="auto"/>
            <w:vAlign w:val="center"/>
          </w:tcPr>
          <w:p w14:paraId="1DA83CB3">
            <w:pPr>
              <w:spacing w:line="276"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投标人业绩</w:t>
            </w:r>
          </w:p>
        </w:tc>
        <w:tc>
          <w:tcPr>
            <w:tcW w:w="816" w:type="dxa"/>
            <w:shd w:val="clear" w:color="auto" w:fill="auto"/>
            <w:vAlign w:val="center"/>
          </w:tcPr>
          <w:p w14:paraId="3829F7ED">
            <w:pPr>
              <w:spacing w:line="276" w:lineRule="auto"/>
              <w:jc w:val="center"/>
              <w:rPr>
                <w:rFonts w:hint="eastAsia" w:ascii="宋体" w:hAnsi="宋体" w:eastAsia="宋体" w:cs="宋体"/>
                <w:kern w:val="2"/>
                <w:sz w:val="24"/>
                <w:szCs w:val="24"/>
                <w:lang w:val="en-US" w:eastAsia="zh-CN" w:bidi="ar-SA"/>
              </w:rPr>
            </w:pPr>
            <w:r>
              <w:rPr>
                <w:rFonts w:hint="eastAsia" w:ascii="宋体" w:hAnsi="宋体" w:eastAsia="宋体" w:cs="宋体"/>
                <w:sz w:val="24"/>
              </w:rPr>
              <w:t>10</w:t>
            </w:r>
          </w:p>
        </w:tc>
        <w:tc>
          <w:tcPr>
            <w:tcW w:w="6604" w:type="dxa"/>
            <w:shd w:val="clear" w:color="auto" w:fill="auto"/>
            <w:vAlign w:val="center"/>
          </w:tcPr>
          <w:p w14:paraId="5FDFE8E9">
            <w:pPr>
              <w:spacing w:line="276" w:lineRule="auto"/>
              <w:jc w:val="left"/>
              <w:rPr>
                <w:rFonts w:hint="eastAsia" w:ascii="宋体" w:hAnsi="宋体" w:eastAsia="宋体" w:cs="宋体"/>
                <w:kern w:val="2"/>
                <w:sz w:val="24"/>
                <w:szCs w:val="24"/>
                <w:lang w:val="en-US" w:eastAsia="zh-CN" w:bidi="ar-SA"/>
              </w:rPr>
            </w:pPr>
            <w:r>
              <w:rPr>
                <w:rFonts w:hint="eastAsia" w:ascii="宋体" w:hAnsi="宋体" w:eastAsia="宋体" w:cs="宋体"/>
                <w:sz w:val="24"/>
              </w:rPr>
              <w:t>投标人自202</w:t>
            </w:r>
            <w:r>
              <w:rPr>
                <w:rFonts w:hint="eastAsia" w:ascii="宋体" w:hAnsi="宋体" w:eastAsia="宋体" w:cs="宋体"/>
                <w:sz w:val="24"/>
                <w:lang w:val="en-US" w:eastAsia="zh-CN"/>
              </w:rPr>
              <w:t>3</w:t>
            </w:r>
            <w:r>
              <w:rPr>
                <w:rFonts w:hint="eastAsia" w:ascii="宋体" w:hAnsi="宋体" w:eastAsia="宋体" w:cs="宋体"/>
                <w:sz w:val="24"/>
              </w:rPr>
              <w:t>年1月1日-至今</w:t>
            </w:r>
            <w:r>
              <w:rPr>
                <w:rFonts w:hint="eastAsia" w:ascii="宋体" w:hAnsi="宋体" w:eastAsia="宋体" w:cs="宋体"/>
                <w:sz w:val="24"/>
                <w:lang w:val="en-US" w:eastAsia="zh-CN"/>
              </w:rPr>
              <w:t>耗材供应</w:t>
            </w:r>
            <w:r>
              <w:rPr>
                <w:rFonts w:hint="eastAsia" w:ascii="宋体" w:hAnsi="宋体" w:eastAsia="宋体" w:cs="宋体"/>
                <w:sz w:val="24"/>
              </w:rPr>
              <w:t>业绩，每提供1个业绩得</w:t>
            </w:r>
            <w:r>
              <w:rPr>
                <w:rFonts w:hint="eastAsia" w:ascii="宋体" w:hAnsi="宋体" w:eastAsia="宋体" w:cs="宋体"/>
                <w:sz w:val="24"/>
                <w:lang w:val="en-US" w:eastAsia="zh-CN"/>
              </w:rPr>
              <w:t>5</w:t>
            </w:r>
            <w:r>
              <w:rPr>
                <w:rFonts w:hint="eastAsia" w:ascii="宋体" w:hAnsi="宋体" w:eastAsia="宋体" w:cs="宋体"/>
                <w:sz w:val="24"/>
              </w:rPr>
              <w:t>分，最多得10分。（提供中标通知书或合同（原件扫描件），做为业绩证明资料，未按要求提供证明资料的不计分）。</w:t>
            </w:r>
          </w:p>
        </w:tc>
      </w:tr>
    </w:tbl>
    <w:p w14:paraId="2E8F626B">
      <w:pPr>
        <w:rPr>
          <w:rFonts w:hint="eastAsia" w:ascii="宋体" w:hAnsi="宋体" w:eastAsia="宋体" w:cs="宋体"/>
          <w:b/>
          <w:bCs/>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DF0BAD"/>
    <w:rsid w:val="3C4542ED"/>
    <w:rsid w:val="49C00185"/>
    <w:rsid w:val="76FD3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1097</Words>
  <Characters>1125</Characters>
  <Lines>0</Lines>
  <Paragraphs>0</Paragraphs>
  <TotalTime>4</TotalTime>
  <ScaleCrop>false</ScaleCrop>
  <LinksUpToDate>false</LinksUpToDate>
  <CharactersWithSpaces>1155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2026-06-10T02:18:00Z</dcterms:created>
  <dc:creator>Lenovo</dc:creator>
  <cp:lastModifiedBy>弱水^虞</cp:lastModifiedBy>
  <dcterms:modified xsi:type="dcterms:W3CDTF">2026-06-10T03:29:49Z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eyJoZGlkIjoiOGU1N2NlNjdlZTRkZDRiOTI3Njk1MDRlNmNlY2UwOGEiLCJ1c2VySWQiOiI0MDUwODAyNjgifQ==</vt:lpwstr>
  </property>
  <property fmtid="{D5CDD505-2E9C-101B-9397-08002B2CF9AE}" pid="4" name="ICV">
    <vt:lpwstr>72F401C080484CDC9A257B56B3498FC1_12</vt:lpwstr>
  </property>
</Properties>
</file>