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32A19">
      <w:pPr>
        <w:spacing w:line="560" w:lineRule="exact"/>
        <w:jc w:val="both"/>
        <w:rPr>
          <w:rFonts w:hint="eastAsia" w:ascii="仿宋" w:hAnsi="仿宋" w:eastAsia="仿宋" w:cs="仿宋"/>
          <w:b/>
          <w:bCs/>
          <w:sz w:val="32"/>
          <w:szCs w:val="32"/>
          <w:lang w:val="en-US" w:eastAsia="zh-CN"/>
        </w:rPr>
      </w:pPr>
    </w:p>
    <w:p w14:paraId="27667F96">
      <w:pPr>
        <w:pStyle w:val="3"/>
        <w:numPr>
          <w:ilvl w:val="0"/>
          <w:numId w:val="0"/>
        </w:numPr>
        <w:spacing w:beforeAutospacing="0" w:afterAutospacing="0" w:line="463" w:lineRule="atLeast"/>
        <w:jc w:val="both"/>
        <w:textAlignment w:val="baseline"/>
        <w:rPr>
          <w:rFonts w:hint="eastAsia" w:ascii="宋体" w:hAnsi="宋体" w:eastAsia="宋体" w:cs="宋体"/>
          <w:b/>
          <w:bCs/>
          <w:i w:val="0"/>
          <w:iCs w:val="0"/>
          <w:caps w:val="0"/>
          <w:color w:val="191919"/>
          <w:spacing w:val="0"/>
          <w:kern w:val="2"/>
          <w:sz w:val="44"/>
          <w:szCs w:val="44"/>
          <w:shd w:val="clear" w:fill="FFFFFF"/>
          <w:lang w:val="en-US" w:eastAsia="zh-CN" w:bidi="ar-SA"/>
        </w:rPr>
      </w:pPr>
      <w:r>
        <w:rPr>
          <w:rFonts w:hint="eastAsia" w:ascii="仿宋" w:hAnsi="仿宋" w:eastAsia="仿宋" w:cs="仿宋"/>
          <w:b w:val="0"/>
          <w:bCs w:val="0"/>
          <w:sz w:val="32"/>
          <w:szCs w:val="32"/>
          <w:lang w:val="en-US" w:eastAsia="zh-CN"/>
        </w:rPr>
        <w:t>附件5：</w:t>
      </w:r>
      <w:r>
        <w:rPr>
          <w:rFonts w:hint="eastAsia" w:ascii="仿宋" w:hAnsi="仿宋" w:eastAsia="仿宋" w:cs="仿宋"/>
          <w:sz w:val="32"/>
          <w:szCs w:val="32"/>
          <w:lang w:val="en-US" w:eastAsia="zh-CN"/>
        </w:rPr>
        <w:t xml:space="preserve">          </w:t>
      </w:r>
      <w:r>
        <w:rPr>
          <w:rFonts w:hint="eastAsia" w:ascii="宋体" w:hAnsi="宋体" w:eastAsia="宋体" w:cs="宋体"/>
          <w:b/>
          <w:bCs/>
          <w:sz w:val="44"/>
          <w:szCs w:val="44"/>
          <w:highlight w:val="none"/>
          <w:lang w:val="en-US" w:eastAsia="zh-CN"/>
        </w:rPr>
        <w:t xml:space="preserve"> </w:t>
      </w:r>
      <w:bookmarkStart w:id="0" w:name="_GoBack"/>
      <w:r>
        <w:rPr>
          <w:rFonts w:hint="eastAsia" w:ascii="宋体" w:hAnsi="宋体" w:eastAsia="宋体" w:cs="宋体"/>
          <w:b/>
          <w:bCs/>
          <w:kern w:val="2"/>
          <w:sz w:val="44"/>
          <w:szCs w:val="44"/>
          <w:highlight w:val="none"/>
          <w:lang w:val="en-US" w:eastAsia="zh-CN" w:bidi="ar-SA"/>
        </w:rPr>
        <w:t>评</w:t>
      </w:r>
      <w:r>
        <w:rPr>
          <w:rFonts w:hint="eastAsia" w:ascii="宋体" w:hAnsi="宋体" w:eastAsia="宋体" w:cs="宋体"/>
          <w:b/>
          <w:bCs/>
          <w:i w:val="0"/>
          <w:iCs w:val="0"/>
          <w:caps w:val="0"/>
          <w:color w:val="191919"/>
          <w:spacing w:val="0"/>
          <w:kern w:val="2"/>
          <w:sz w:val="44"/>
          <w:szCs w:val="44"/>
          <w:highlight w:val="none"/>
          <w:shd w:val="clear" w:fill="FFFFFF"/>
          <w:lang w:val="en-US" w:eastAsia="zh-CN" w:bidi="ar-SA"/>
        </w:rPr>
        <w:t>分标准表</w:t>
      </w:r>
    </w:p>
    <w:bookmarkEnd w:id="0"/>
    <w:tbl>
      <w:tblPr>
        <w:tblStyle w:val="4"/>
        <w:tblpPr w:leftFromText="180" w:rightFromText="180" w:vertAnchor="text" w:horzAnchor="page" w:tblpX="1719" w:tblpY="732"/>
        <w:tblOverlap w:val="never"/>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678"/>
        <w:gridCol w:w="949"/>
        <w:gridCol w:w="4827"/>
        <w:gridCol w:w="1278"/>
      </w:tblGrid>
      <w:tr w14:paraId="715B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45" w:type="dxa"/>
            <w:noWrap w:val="0"/>
            <w:vAlign w:val="center"/>
          </w:tcPr>
          <w:p w14:paraId="5DD10BA6">
            <w:pPr>
              <w:pStyle w:val="6"/>
              <w:keepNext w:val="0"/>
              <w:keepLines w:val="0"/>
              <w:pageBreakBefore w:val="0"/>
              <w:kinsoku/>
              <w:wordWrap/>
              <w:overflowPunct/>
              <w:topLinePunct w:val="0"/>
              <w:bidi w:val="0"/>
              <w:snapToGrid/>
              <w:spacing w:line="400" w:lineRule="exact"/>
              <w:jc w:val="center"/>
              <w:textAlignment w:val="auto"/>
              <w:rPr>
                <w:rFonts w:hint="eastAsia" w:ascii="仿宋" w:hAnsi="仿宋" w:eastAsia="仿宋" w:cs="仿宋"/>
                <w:sz w:val="24"/>
                <w:szCs w:val="24"/>
                <w:lang w:val="en-US" w:eastAsia="zh-CN"/>
              </w:rPr>
            </w:pPr>
          </w:p>
          <w:p w14:paraId="54CAC07E">
            <w:pPr>
              <w:pStyle w:val="6"/>
              <w:keepNext w:val="0"/>
              <w:keepLines w:val="0"/>
              <w:pageBreakBefore w:val="0"/>
              <w:kinsoku/>
              <w:wordWrap/>
              <w:overflowPunct/>
              <w:topLinePunct w:val="0"/>
              <w:bidi w:val="0"/>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1678" w:type="dxa"/>
            <w:noWrap w:val="0"/>
            <w:vAlign w:val="center"/>
          </w:tcPr>
          <w:p w14:paraId="29D78BC9">
            <w:pPr>
              <w:pStyle w:val="6"/>
              <w:keepNext w:val="0"/>
              <w:keepLines w:val="0"/>
              <w:pageBreakBefore w:val="0"/>
              <w:kinsoku/>
              <w:wordWrap/>
              <w:overflowPunct/>
              <w:topLinePunct w:val="0"/>
              <w:bidi w:val="0"/>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总评分因素及权重</w:t>
            </w:r>
          </w:p>
        </w:tc>
        <w:tc>
          <w:tcPr>
            <w:tcW w:w="949" w:type="dxa"/>
            <w:noWrap w:val="0"/>
            <w:vAlign w:val="center"/>
          </w:tcPr>
          <w:p w14:paraId="27CC5834">
            <w:pPr>
              <w:pStyle w:val="6"/>
              <w:keepNext w:val="0"/>
              <w:keepLines w:val="0"/>
              <w:pageBreakBefore w:val="0"/>
              <w:kinsoku/>
              <w:wordWrap/>
              <w:overflowPunct/>
              <w:topLinePunct w:val="0"/>
              <w:bidi w:val="0"/>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分项分值</w:t>
            </w:r>
          </w:p>
        </w:tc>
        <w:tc>
          <w:tcPr>
            <w:tcW w:w="4827" w:type="dxa"/>
            <w:noWrap w:val="0"/>
            <w:vAlign w:val="center"/>
          </w:tcPr>
          <w:p w14:paraId="3CD07FD5">
            <w:pPr>
              <w:pStyle w:val="6"/>
              <w:keepNext w:val="0"/>
              <w:keepLines w:val="0"/>
              <w:pageBreakBefore w:val="0"/>
              <w:kinsoku/>
              <w:wordWrap/>
              <w:overflowPunct/>
              <w:topLinePunct w:val="0"/>
              <w:bidi w:val="0"/>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评分标准</w:t>
            </w:r>
          </w:p>
        </w:tc>
        <w:tc>
          <w:tcPr>
            <w:tcW w:w="1278" w:type="dxa"/>
            <w:noWrap w:val="0"/>
            <w:vAlign w:val="center"/>
          </w:tcPr>
          <w:p w14:paraId="3519DCB2">
            <w:pPr>
              <w:pStyle w:val="6"/>
              <w:keepNext w:val="0"/>
              <w:keepLines w:val="0"/>
              <w:pageBreakBefore w:val="0"/>
              <w:kinsoku/>
              <w:wordWrap/>
              <w:overflowPunct/>
              <w:topLinePunct w:val="0"/>
              <w:bidi w:val="0"/>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说明</w:t>
            </w:r>
          </w:p>
        </w:tc>
      </w:tr>
      <w:tr w14:paraId="24E3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045" w:type="dxa"/>
            <w:noWrap w:val="0"/>
            <w:vAlign w:val="center"/>
          </w:tcPr>
          <w:p w14:paraId="44A59474">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678" w:type="dxa"/>
            <w:noWrap w:val="0"/>
            <w:vAlign w:val="center"/>
          </w:tcPr>
          <w:p w14:paraId="34AD3B37">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报价15%</w:t>
            </w:r>
          </w:p>
        </w:tc>
        <w:tc>
          <w:tcPr>
            <w:tcW w:w="949" w:type="dxa"/>
            <w:noWrap w:val="0"/>
            <w:vAlign w:val="center"/>
          </w:tcPr>
          <w:p w14:paraId="3A3C43D6">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15分</w:t>
            </w:r>
          </w:p>
        </w:tc>
        <w:tc>
          <w:tcPr>
            <w:tcW w:w="4827" w:type="dxa"/>
            <w:noWrap w:val="0"/>
            <w:vAlign w:val="center"/>
          </w:tcPr>
          <w:p w14:paraId="127FA4BD">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以本次最低有效投标报价为基准价，投标报价得分=(基准价／投标报价)×</w:t>
            </w:r>
            <w:r>
              <w:rPr>
                <w:rFonts w:hint="eastAsia" w:ascii="仿宋" w:hAnsi="仿宋" w:eastAsia="仿宋" w:cs="仿宋"/>
                <w:sz w:val="24"/>
                <w:szCs w:val="24"/>
                <w:lang w:val="en-US" w:eastAsia="zh-CN"/>
              </w:rPr>
              <w:t>15</w:t>
            </w:r>
            <w:r>
              <w:rPr>
                <w:rFonts w:hint="eastAsia" w:ascii="仿宋" w:hAnsi="仿宋" w:eastAsia="仿宋" w:cs="仿宋"/>
                <w:sz w:val="24"/>
                <w:szCs w:val="24"/>
                <w:lang w:val="en-US" w:eastAsia="zh-Hans"/>
              </w:rPr>
              <w:t>。</w:t>
            </w:r>
          </w:p>
          <w:p w14:paraId="2E935071">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Hans"/>
              </w:rPr>
            </w:pPr>
          </w:p>
        </w:tc>
        <w:tc>
          <w:tcPr>
            <w:tcW w:w="1278" w:type="dxa"/>
            <w:noWrap w:val="0"/>
            <w:vAlign w:val="center"/>
          </w:tcPr>
          <w:p w14:paraId="2B8B7B87">
            <w:pPr>
              <w:pStyle w:val="6"/>
              <w:keepNext w:val="0"/>
              <w:keepLines w:val="0"/>
              <w:pageBreakBefore w:val="0"/>
              <w:kinsoku/>
              <w:wordWrap/>
              <w:overflowPunct/>
              <w:topLinePunct w:val="0"/>
              <w:bidi w:val="0"/>
              <w:snapToGrid/>
              <w:spacing w:line="400" w:lineRule="exact"/>
              <w:jc w:val="left"/>
              <w:textAlignment w:val="auto"/>
              <w:rPr>
                <w:rFonts w:hint="default" w:ascii="仿宋" w:hAnsi="仿宋" w:eastAsia="仿宋" w:cs="仿宋"/>
                <w:sz w:val="24"/>
                <w:szCs w:val="24"/>
                <w:lang w:val="en-US" w:eastAsia="zh-CN"/>
              </w:rPr>
            </w:pPr>
          </w:p>
        </w:tc>
      </w:tr>
      <w:tr w14:paraId="4153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4" w:hRule="atLeast"/>
          <w:jc w:val="center"/>
        </w:trPr>
        <w:tc>
          <w:tcPr>
            <w:tcW w:w="1045" w:type="dxa"/>
            <w:noWrap w:val="0"/>
            <w:vAlign w:val="center"/>
          </w:tcPr>
          <w:p w14:paraId="2959B9E6">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678" w:type="dxa"/>
            <w:noWrap w:val="0"/>
            <w:vAlign w:val="center"/>
          </w:tcPr>
          <w:p w14:paraId="79E6860E">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技术服务方案45%</w:t>
            </w:r>
          </w:p>
        </w:tc>
        <w:tc>
          <w:tcPr>
            <w:tcW w:w="949" w:type="dxa"/>
            <w:noWrap w:val="0"/>
            <w:vAlign w:val="center"/>
          </w:tcPr>
          <w:p w14:paraId="43F3D437">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45分</w:t>
            </w:r>
          </w:p>
        </w:tc>
        <w:tc>
          <w:tcPr>
            <w:tcW w:w="4827" w:type="dxa"/>
            <w:noWrap w:val="0"/>
            <w:vAlign w:val="center"/>
          </w:tcPr>
          <w:p w14:paraId="19BA725B">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Hans"/>
              </w:rPr>
              <w:t>根据供应商针对本项目提供的服务方案进行评分，服务方案包括但不限于：</w:t>
            </w:r>
            <w:r>
              <w:rPr>
                <w:rFonts w:hint="eastAsia" w:ascii="仿宋" w:hAnsi="仿宋" w:eastAsia="仿宋" w:cs="仿宋"/>
                <w:sz w:val="24"/>
                <w:szCs w:val="24"/>
                <w:lang w:val="en-US" w:eastAsia="zh-CN"/>
              </w:rPr>
              <w:t>①对本项目的重点难点分析；②服务总体方案（包括服务实施计划、具体的实施方案、质量管理制度、监督检查制度）；③定期保养服务计划及措施[含保养报告（提供模板）]；④故障维修服务流程[维修服务具体流程详细具体，维修响应时间、故障解决程序 ，维修记录单（提供模板）详细具体]⑤维保服务保障措施（含知识培训方案，维保备品备件准备计划）；⑥应急措施（包含突发事件处理方案、事故应急处理后续计划、应急处理响应时间）；⑦维保人员配置及职责分工方案；⑧维保质量保障措施；⑨安全保障措施。</w:t>
            </w:r>
            <w:r>
              <w:rPr>
                <w:rFonts w:hint="eastAsia" w:ascii="仿宋" w:hAnsi="仿宋" w:eastAsia="仿宋" w:cs="仿宋"/>
                <w:sz w:val="24"/>
                <w:szCs w:val="24"/>
                <w:lang w:val="en-US" w:eastAsia="zh-Hans"/>
              </w:rPr>
              <w:t>内容完全符合项目要求且详细、描述清晰、严谨且针对性强的得</w:t>
            </w:r>
            <w:r>
              <w:rPr>
                <w:rFonts w:hint="eastAsia" w:ascii="仿宋" w:hAnsi="仿宋" w:eastAsia="仿宋" w:cs="仿宋"/>
                <w:sz w:val="24"/>
                <w:szCs w:val="24"/>
                <w:lang w:val="en-US" w:eastAsia="zh-CN"/>
              </w:rPr>
              <w:t>45</w:t>
            </w:r>
            <w:r>
              <w:rPr>
                <w:rFonts w:hint="eastAsia" w:ascii="仿宋" w:hAnsi="仿宋" w:eastAsia="仿宋" w:cs="仿宋"/>
                <w:sz w:val="24"/>
                <w:szCs w:val="24"/>
                <w:lang w:val="en-US" w:eastAsia="zh-Hans"/>
              </w:rPr>
              <w:t>分；每缺一项扣</w:t>
            </w:r>
            <w:r>
              <w:rPr>
                <w:rFonts w:hint="eastAsia" w:ascii="仿宋" w:hAnsi="仿宋" w:eastAsia="仿宋" w:cs="仿宋"/>
                <w:sz w:val="24"/>
                <w:szCs w:val="24"/>
                <w:lang w:val="en-US" w:eastAsia="zh-CN"/>
              </w:rPr>
              <w:t>5</w:t>
            </w:r>
            <w:r>
              <w:rPr>
                <w:rFonts w:hint="eastAsia" w:ascii="仿宋" w:hAnsi="仿宋" w:eastAsia="仿宋" w:cs="仿宋"/>
                <w:sz w:val="24"/>
                <w:szCs w:val="24"/>
                <w:lang w:val="en-US" w:eastAsia="zh-Hans"/>
              </w:rPr>
              <w:t>分；每有一处内容不符合项目要求或描述不清楚或与实际情况不符的扣</w:t>
            </w:r>
            <w:r>
              <w:rPr>
                <w:rFonts w:hint="eastAsia" w:ascii="仿宋" w:hAnsi="仿宋" w:eastAsia="仿宋" w:cs="仿宋"/>
                <w:sz w:val="24"/>
                <w:szCs w:val="24"/>
                <w:lang w:val="en-US" w:eastAsia="zh-CN"/>
              </w:rPr>
              <w:t>2.5</w:t>
            </w:r>
            <w:r>
              <w:rPr>
                <w:rFonts w:hint="eastAsia" w:ascii="仿宋" w:hAnsi="仿宋" w:eastAsia="仿宋" w:cs="仿宋"/>
                <w:sz w:val="24"/>
                <w:szCs w:val="24"/>
                <w:lang w:val="en-US" w:eastAsia="zh-Hans"/>
              </w:rPr>
              <w:t>分，直至本项扣完为止。</w:t>
            </w:r>
          </w:p>
        </w:tc>
        <w:tc>
          <w:tcPr>
            <w:tcW w:w="1278" w:type="dxa"/>
            <w:noWrap w:val="0"/>
            <w:vAlign w:val="center"/>
          </w:tcPr>
          <w:p w14:paraId="48976ED9">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CN"/>
              </w:rPr>
            </w:pPr>
          </w:p>
        </w:tc>
      </w:tr>
      <w:tr w14:paraId="5DFD5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45" w:type="dxa"/>
            <w:vMerge w:val="restart"/>
            <w:noWrap w:val="0"/>
            <w:vAlign w:val="center"/>
          </w:tcPr>
          <w:p w14:paraId="7F92B403">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678" w:type="dxa"/>
            <w:vMerge w:val="restart"/>
            <w:noWrap w:val="0"/>
            <w:vAlign w:val="center"/>
          </w:tcPr>
          <w:p w14:paraId="52853C73">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采购需求响应情况20%</w:t>
            </w:r>
          </w:p>
        </w:tc>
        <w:tc>
          <w:tcPr>
            <w:tcW w:w="949" w:type="dxa"/>
            <w:vMerge w:val="restart"/>
            <w:noWrap w:val="0"/>
            <w:vAlign w:val="center"/>
          </w:tcPr>
          <w:p w14:paraId="55F1EC99">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20分</w:t>
            </w:r>
          </w:p>
        </w:tc>
        <w:tc>
          <w:tcPr>
            <w:tcW w:w="4827" w:type="dxa"/>
            <w:noWrap w:val="0"/>
            <w:vAlign w:val="center"/>
          </w:tcPr>
          <w:p w14:paraId="22C63D62">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起评分</w:t>
            </w:r>
          </w:p>
          <w:p w14:paraId="1B2260AB">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CN"/>
              </w:rPr>
              <w:t>有效响应供应商的起评分为20分。</w:t>
            </w:r>
          </w:p>
        </w:tc>
        <w:tc>
          <w:tcPr>
            <w:tcW w:w="1278" w:type="dxa"/>
            <w:noWrap w:val="0"/>
            <w:vAlign w:val="center"/>
          </w:tcPr>
          <w:p w14:paraId="23FFB908">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CN"/>
              </w:rPr>
            </w:pPr>
          </w:p>
        </w:tc>
      </w:tr>
      <w:tr w14:paraId="03E7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1" w:hRule="atLeast"/>
          <w:jc w:val="center"/>
        </w:trPr>
        <w:tc>
          <w:tcPr>
            <w:tcW w:w="1045" w:type="dxa"/>
            <w:vMerge w:val="continue"/>
            <w:noWrap w:val="0"/>
            <w:vAlign w:val="center"/>
          </w:tcPr>
          <w:p w14:paraId="59577935">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CN"/>
              </w:rPr>
            </w:pPr>
          </w:p>
        </w:tc>
        <w:tc>
          <w:tcPr>
            <w:tcW w:w="1678" w:type="dxa"/>
            <w:vMerge w:val="continue"/>
            <w:noWrap w:val="0"/>
            <w:vAlign w:val="center"/>
          </w:tcPr>
          <w:p w14:paraId="58CF1035">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CN"/>
              </w:rPr>
            </w:pPr>
          </w:p>
        </w:tc>
        <w:tc>
          <w:tcPr>
            <w:tcW w:w="949" w:type="dxa"/>
            <w:vMerge w:val="continue"/>
            <w:noWrap w:val="0"/>
            <w:vAlign w:val="center"/>
          </w:tcPr>
          <w:p w14:paraId="1D13F4B4">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CN"/>
              </w:rPr>
            </w:pPr>
          </w:p>
        </w:tc>
        <w:tc>
          <w:tcPr>
            <w:tcW w:w="4827" w:type="dxa"/>
            <w:noWrap w:val="0"/>
            <w:vAlign w:val="center"/>
          </w:tcPr>
          <w:p w14:paraId="06E7BAF6">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CN"/>
              </w:rPr>
              <w:t>1、</w:t>
            </w:r>
            <w:r>
              <w:rPr>
                <w:rFonts w:hint="eastAsia" w:ascii="仿宋" w:hAnsi="仿宋" w:eastAsia="仿宋" w:cs="仿宋"/>
                <w:sz w:val="24"/>
                <w:szCs w:val="24"/>
                <w:lang w:val="en-US" w:eastAsia="zh-Hans"/>
              </w:rPr>
              <w:t>采购需求带★号为实质性要求，任一实质性要求不满足将做无效投标处理。</w:t>
            </w:r>
          </w:p>
          <w:p w14:paraId="632CFD1D">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带▲号条款为重要条款，条款有具体要求的，按要求</w:t>
            </w:r>
            <w:r>
              <w:rPr>
                <w:rFonts w:hint="eastAsia" w:ascii="仿宋" w:hAnsi="仿宋" w:eastAsia="仿宋" w:cs="仿宋"/>
                <w:sz w:val="24"/>
                <w:szCs w:val="24"/>
                <w:lang w:val="en-US" w:eastAsia="zh-CN"/>
              </w:rPr>
              <w:t>提供</w:t>
            </w:r>
            <w:r>
              <w:rPr>
                <w:rFonts w:hint="eastAsia" w:ascii="仿宋" w:hAnsi="仿宋" w:eastAsia="仿宋" w:cs="仿宋"/>
                <w:sz w:val="24"/>
                <w:szCs w:val="24"/>
                <w:lang w:val="en-US" w:eastAsia="zh-Hans"/>
              </w:rPr>
              <w:t>相关资质证书证明材料，未提供或不满足视为负偏离。</w:t>
            </w:r>
          </w:p>
          <w:p w14:paraId="2BB09F74">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投标人完全响应招标文件</w:t>
            </w:r>
            <w:r>
              <w:rPr>
                <w:rFonts w:hint="eastAsia" w:ascii="仿宋" w:hAnsi="仿宋" w:eastAsia="仿宋" w:cs="仿宋"/>
                <w:sz w:val="24"/>
                <w:szCs w:val="24"/>
                <w:lang w:val="en-US" w:eastAsia="zh-CN"/>
              </w:rPr>
              <w:t>中</w:t>
            </w:r>
            <w:r>
              <w:rPr>
                <w:rFonts w:hint="eastAsia" w:ascii="仿宋" w:hAnsi="仿宋" w:eastAsia="仿宋" w:cs="仿宋"/>
                <w:sz w:val="24"/>
                <w:szCs w:val="24"/>
                <w:lang w:val="en-US" w:eastAsia="zh-Hans"/>
              </w:rPr>
              <w:t>采购需求且没有负偏离的得</w:t>
            </w:r>
            <w:r>
              <w:rPr>
                <w:rFonts w:hint="eastAsia" w:ascii="仿宋" w:hAnsi="仿宋" w:eastAsia="仿宋" w:cs="仿宋"/>
                <w:sz w:val="24"/>
                <w:szCs w:val="24"/>
                <w:lang w:val="en-US" w:eastAsia="zh-CN"/>
              </w:rPr>
              <w:t>20</w:t>
            </w:r>
            <w:r>
              <w:rPr>
                <w:rFonts w:hint="eastAsia" w:ascii="仿宋" w:hAnsi="仿宋" w:eastAsia="仿宋" w:cs="仿宋"/>
                <w:sz w:val="24"/>
                <w:szCs w:val="24"/>
                <w:lang w:val="en-US" w:eastAsia="zh-Hans"/>
              </w:rPr>
              <w:t>分，该</w:t>
            </w:r>
            <w:r>
              <w:rPr>
                <w:rFonts w:hint="eastAsia" w:ascii="仿宋" w:hAnsi="仿宋" w:eastAsia="仿宋" w:cs="仿宋"/>
                <w:sz w:val="24"/>
                <w:szCs w:val="24"/>
                <w:lang w:val="en-US" w:eastAsia="zh-CN"/>
              </w:rPr>
              <w:t>20</w:t>
            </w:r>
            <w:r>
              <w:rPr>
                <w:rFonts w:hint="eastAsia" w:ascii="仿宋" w:hAnsi="仿宋" w:eastAsia="仿宋" w:cs="仿宋"/>
                <w:sz w:val="24"/>
                <w:szCs w:val="24"/>
                <w:lang w:val="en-US" w:eastAsia="zh-Hans"/>
              </w:rPr>
              <w:t>分为基础分，如有负偏离情况按以下</w:t>
            </w:r>
            <w:r>
              <w:rPr>
                <w:rFonts w:hint="eastAsia" w:ascii="仿宋" w:hAnsi="仿宋" w:eastAsia="仿宋" w:cs="仿宋"/>
                <w:sz w:val="24"/>
                <w:szCs w:val="24"/>
                <w:lang w:val="en-US" w:eastAsia="zh-CN"/>
              </w:rPr>
              <w:t>2</w:t>
            </w:r>
            <w:r>
              <w:rPr>
                <w:rFonts w:hint="eastAsia" w:ascii="仿宋" w:hAnsi="仿宋" w:eastAsia="仿宋" w:cs="仿宋"/>
                <w:sz w:val="24"/>
                <w:szCs w:val="24"/>
                <w:lang w:val="en-US" w:eastAsia="zh-Hans"/>
              </w:rPr>
              <w:t>、</w:t>
            </w:r>
            <w:r>
              <w:rPr>
                <w:rFonts w:hint="eastAsia" w:ascii="仿宋" w:hAnsi="仿宋" w:eastAsia="仿宋" w:cs="仿宋"/>
                <w:sz w:val="24"/>
                <w:szCs w:val="24"/>
                <w:lang w:val="en-US" w:eastAsia="zh-CN"/>
              </w:rPr>
              <w:t>3</w:t>
            </w:r>
            <w:r>
              <w:rPr>
                <w:rFonts w:hint="eastAsia" w:ascii="仿宋" w:hAnsi="仿宋" w:eastAsia="仿宋" w:cs="仿宋"/>
                <w:sz w:val="24"/>
                <w:szCs w:val="24"/>
                <w:lang w:val="en-US" w:eastAsia="zh-Hans"/>
              </w:rPr>
              <w:t>条规则扣分</w:t>
            </w:r>
            <w:r>
              <w:rPr>
                <w:rFonts w:hint="eastAsia" w:ascii="仿宋" w:hAnsi="仿宋" w:eastAsia="仿宋" w:cs="仿宋"/>
                <w:sz w:val="24"/>
                <w:szCs w:val="24"/>
                <w:lang w:val="en-US" w:eastAsia="zh-CN"/>
              </w:rPr>
              <w:t>，扣完为止</w:t>
            </w:r>
            <w:r>
              <w:rPr>
                <w:rFonts w:hint="eastAsia" w:ascii="仿宋" w:hAnsi="仿宋" w:eastAsia="仿宋" w:cs="仿宋"/>
                <w:sz w:val="24"/>
                <w:szCs w:val="24"/>
                <w:lang w:val="en-US" w:eastAsia="zh-Hans"/>
              </w:rPr>
              <w:t>。</w:t>
            </w:r>
          </w:p>
          <w:p w14:paraId="6106BF02">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CN"/>
              </w:rPr>
              <w:t>2、</w:t>
            </w:r>
            <w:r>
              <w:rPr>
                <w:rFonts w:hint="eastAsia" w:ascii="仿宋" w:hAnsi="仿宋" w:eastAsia="仿宋" w:cs="仿宋"/>
                <w:sz w:val="24"/>
                <w:szCs w:val="24"/>
                <w:lang w:val="en-US" w:eastAsia="zh-Hans"/>
              </w:rPr>
              <w:t>对于“一般条款”（未标记“★”和“▲”的参数项）：每有1项负偏离在基础分上扣</w:t>
            </w:r>
            <w:r>
              <w:rPr>
                <w:rFonts w:hint="eastAsia" w:ascii="仿宋" w:hAnsi="仿宋" w:eastAsia="仿宋" w:cs="仿宋"/>
                <w:sz w:val="24"/>
                <w:szCs w:val="24"/>
                <w:lang w:val="en-US" w:eastAsia="zh-CN"/>
              </w:rPr>
              <w:t>2</w:t>
            </w:r>
            <w:r>
              <w:rPr>
                <w:rFonts w:hint="eastAsia" w:ascii="仿宋" w:hAnsi="仿宋" w:eastAsia="仿宋" w:cs="仿宋"/>
                <w:sz w:val="24"/>
                <w:szCs w:val="24"/>
                <w:lang w:val="en-US" w:eastAsia="zh-Hans"/>
              </w:rPr>
              <w:t>分，最高扣</w:t>
            </w:r>
            <w:r>
              <w:rPr>
                <w:rFonts w:hint="eastAsia" w:ascii="仿宋" w:hAnsi="仿宋" w:eastAsia="仿宋" w:cs="仿宋"/>
                <w:sz w:val="24"/>
                <w:szCs w:val="24"/>
                <w:lang w:val="en-US" w:eastAsia="zh-CN"/>
              </w:rPr>
              <w:t>12</w:t>
            </w:r>
            <w:r>
              <w:rPr>
                <w:rFonts w:hint="eastAsia" w:ascii="仿宋" w:hAnsi="仿宋" w:eastAsia="仿宋" w:cs="仿宋"/>
                <w:sz w:val="24"/>
                <w:szCs w:val="24"/>
                <w:lang w:val="en-US" w:eastAsia="zh-Hans"/>
              </w:rPr>
              <w:t>分。</w:t>
            </w:r>
          </w:p>
          <w:p w14:paraId="778EA0CE">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lang w:val="en-US" w:eastAsia="zh-Hans"/>
              </w:rPr>
              <w:t>对于“重要条款”（标记“▲”项）：每有1项负偏离在基础分上扣</w:t>
            </w:r>
            <w:r>
              <w:rPr>
                <w:rFonts w:hint="eastAsia" w:ascii="仿宋" w:hAnsi="仿宋" w:eastAsia="仿宋" w:cs="仿宋"/>
                <w:sz w:val="24"/>
                <w:szCs w:val="24"/>
                <w:lang w:val="en-US" w:eastAsia="zh-CN"/>
              </w:rPr>
              <w:t>4</w:t>
            </w:r>
            <w:r>
              <w:rPr>
                <w:rFonts w:hint="eastAsia" w:ascii="仿宋" w:hAnsi="仿宋" w:eastAsia="仿宋" w:cs="仿宋"/>
                <w:sz w:val="24"/>
                <w:szCs w:val="24"/>
                <w:lang w:val="en-US" w:eastAsia="zh-Hans"/>
              </w:rPr>
              <w:t>分，最高扣</w:t>
            </w:r>
            <w:r>
              <w:rPr>
                <w:rFonts w:hint="eastAsia" w:ascii="仿宋" w:hAnsi="仿宋" w:eastAsia="仿宋" w:cs="仿宋"/>
                <w:sz w:val="24"/>
                <w:szCs w:val="24"/>
                <w:lang w:val="en-US" w:eastAsia="zh-CN"/>
              </w:rPr>
              <w:t>8</w:t>
            </w:r>
            <w:r>
              <w:rPr>
                <w:rFonts w:hint="eastAsia" w:ascii="仿宋" w:hAnsi="仿宋" w:eastAsia="仿宋" w:cs="仿宋"/>
                <w:sz w:val="24"/>
                <w:szCs w:val="24"/>
                <w:lang w:val="en-US" w:eastAsia="zh-Hans"/>
              </w:rPr>
              <w:t>分</w:t>
            </w:r>
            <w:r>
              <w:rPr>
                <w:rFonts w:hint="eastAsia" w:ascii="仿宋" w:hAnsi="仿宋" w:eastAsia="仿宋" w:cs="仿宋"/>
                <w:sz w:val="24"/>
                <w:szCs w:val="24"/>
                <w:lang w:val="en-US" w:eastAsia="zh-CN"/>
              </w:rPr>
              <w:t>。</w:t>
            </w:r>
          </w:p>
          <w:p w14:paraId="7A286100">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CN"/>
              </w:rPr>
            </w:pPr>
          </w:p>
        </w:tc>
        <w:tc>
          <w:tcPr>
            <w:tcW w:w="1278" w:type="dxa"/>
            <w:noWrap w:val="0"/>
            <w:vAlign w:val="center"/>
          </w:tcPr>
          <w:p w14:paraId="645394F4">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CN"/>
              </w:rPr>
            </w:pPr>
          </w:p>
        </w:tc>
      </w:tr>
      <w:tr w14:paraId="6555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045" w:type="dxa"/>
            <w:vMerge w:val="restart"/>
            <w:noWrap w:val="0"/>
            <w:vAlign w:val="center"/>
          </w:tcPr>
          <w:p w14:paraId="27905F56">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678" w:type="dxa"/>
            <w:vMerge w:val="restart"/>
            <w:noWrap w:val="0"/>
            <w:vAlign w:val="center"/>
          </w:tcPr>
          <w:p w14:paraId="035501E9">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综合实力10%</w:t>
            </w:r>
          </w:p>
        </w:tc>
        <w:tc>
          <w:tcPr>
            <w:tcW w:w="949" w:type="dxa"/>
            <w:vMerge w:val="restart"/>
            <w:noWrap w:val="0"/>
            <w:vAlign w:val="center"/>
          </w:tcPr>
          <w:p w14:paraId="38CAF683">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10分</w:t>
            </w:r>
          </w:p>
        </w:tc>
        <w:tc>
          <w:tcPr>
            <w:tcW w:w="4827" w:type="dxa"/>
            <w:noWrap w:val="0"/>
            <w:vAlign w:val="center"/>
          </w:tcPr>
          <w:p w14:paraId="28940804">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1、供应商需具有设备零备件仓库。（提供证明材料：自有房产权证明材料扫描件或者库房租赁合同扫描件和租赁房产证扫描件并加盖供应商电子签章）提供得2分。</w:t>
            </w:r>
          </w:p>
        </w:tc>
        <w:tc>
          <w:tcPr>
            <w:tcW w:w="1278" w:type="dxa"/>
            <w:noWrap w:val="0"/>
            <w:vAlign w:val="center"/>
          </w:tcPr>
          <w:p w14:paraId="2F99AFC5">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CN"/>
              </w:rPr>
            </w:pPr>
          </w:p>
        </w:tc>
      </w:tr>
      <w:tr w14:paraId="2B52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045" w:type="dxa"/>
            <w:vMerge w:val="continue"/>
            <w:noWrap w:val="0"/>
            <w:vAlign w:val="center"/>
          </w:tcPr>
          <w:p w14:paraId="0533D8BC">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CN"/>
              </w:rPr>
            </w:pPr>
          </w:p>
        </w:tc>
        <w:tc>
          <w:tcPr>
            <w:tcW w:w="1678" w:type="dxa"/>
            <w:vMerge w:val="continue"/>
            <w:noWrap w:val="0"/>
            <w:vAlign w:val="center"/>
          </w:tcPr>
          <w:p w14:paraId="5887B504">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CN"/>
              </w:rPr>
            </w:pPr>
          </w:p>
        </w:tc>
        <w:tc>
          <w:tcPr>
            <w:tcW w:w="949" w:type="dxa"/>
            <w:vMerge w:val="continue"/>
            <w:noWrap w:val="0"/>
            <w:vAlign w:val="center"/>
          </w:tcPr>
          <w:p w14:paraId="16757B52">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CN"/>
              </w:rPr>
            </w:pPr>
          </w:p>
        </w:tc>
        <w:tc>
          <w:tcPr>
            <w:tcW w:w="4827" w:type="dxa"/>
            <w:noWrap w:val="0"/>
            <w:vAlign w:val="center"/>
          </w:tcPr>
          <w:p w14:paraId="40ABE9B2">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2.供应商具有法定的计量检定机构出具的专业精密维修工具检定/校准合格报告的，每提供一种设备的检定/校准报告得2分，最多得8分。</w:t>
            </w:r>
          </w:p>
        </w:tc>
        <w:tc>
          <w:tcPr>
            <w:tcW w:w="1278" w:type="dxa"/>
            <w:noWrap w:val="0"/>
            <w:vAlign w:val="center"/>
          </w:tcPr>
          <w:p w14:paraId="7C801383">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CN"/>
              </w:rPr>
            </w:pPr>
          </w:p>
        </w:tc>
      </w:tr>
      <w:tr w14:paraId="1171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jc w:val="center"/>
        </w:trPr>
        <w:tc>
          <w:tcPr>
            <w:tcW w:w="1045" w:type="dxa"/>
            <w:noWrap w:val="0"/>
            <w:vAlign w:val="center"/>
          </w:tcPr>
          <w:p w14:paraId="62C2561F">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678" w:type="dxa"/>
            <w:noWrap w:val="0"/>
            <w:vAlign w:val="center"/>
          </w:tcPr>
          <w:p w14:paraId="19617918">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业绩10%</w:t>
            </w:r>
          </w:p>
        </w:tc>
        <w:tc>
          <w:tcPr>
            <w:tcW w:w="949" w:type="dxa"/>
            <w:noWrap w:val="0"/>
            <w:vAlign w:val="center"/>
          </w:tcPr>
          <w:p w14:paraId="6D924E4D">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10分</w:t>
            </w:r>
          </w:p>
        </w:tc>
        <w:tc>
          <w:tcPr>
            <w:tcW w:w="4827" w:type="dxa"/>
            <w:noWrap w:val="0"/>
            <w:vAlign w:val="center"/>
          </w:tcPr>
          <w:p w14:paraId="5BA11277">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1、2022年1月1日（以中标（成交）通知书发放日或合同签订日）以来，供应商具有类似项目业绩，每提供1项得2分，最多得10分；未提供不得分。 注：提供中标（成交）通知书或合同，复印件加盖供应商鲜章。</w:t>
            </w:r>
          </w:p>
        </w:tc>
        <w:tc>
          <w:tcPr>
            <w:tcW w:w="1278" w:type="dxa"/>
            <w:noWrap w:val="0"/>
            <w:vAlign w:val="center"/>
          </w:tcPr>
          <w:p w14:paraId="69770964">
            <w:pPr>
              <w:pStyle w:val="6"/>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sz w:val="24"/>
                <w:szCs w:val="24"/>
                <w:lang w:val="en-US" w:eastAsia="zh-CN"/>
              </w:rPr>
            </w:pPr>
          </w:p>
        </w:tc>
      </w:tr>
    </w:tbl>
    <w:p w14:paraId="479D877A">
      <w:pPr>
        <w:spacing w:line="560" w:lineRule="exact"/>
        <w:jc w:val="center"/>
        <w:rPr>
          <w:rFonts w:hint="eastAsia" w:ascii="仿宋" w:hAnsi="仿宋" w:eastAsia="仿宋" w:cs="仿宋"/>
          <w:sz w:val="24"/>
          <w:szCs w:val="24"/>
          <w:lang w:val="en-US" w:eastAsia="zh-CN"/>
        </w:rPr>
      </w:pPr>
    </w:p>
    <w:p w14:paraId="3E746BE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0E202">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9AFA29">
                          <w:pPr>
                            <w:pStyle w:val="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39AFA29">
                    <w:pPr>
                      <w:pStyle w:val="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665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Autospacing="1" w:afterAutospacing="1"/>
      <w:jc w:val="left"/>
    </w:pPr>
    <w:rPr>
      <w:rFonts w:cs="Times New Roman"/>
      <w:kern w:val="0"/>
      <w:sz w:val="24"/>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2025-11-10T04:15:53Z</dcterms:created>
  <dc:creator>Lenovo</dc:creator>
  <cp:lastModifiedBy>弱水^虞</cp:lastModifiedBy>
  <dcterms:modified xsi:type="dcterms:W3CDTF">2025-11-10T04:16:05Z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eyJoZGlkIjoiOGU1N2NlNjdlZTRkZDRiOTI3Njk1MDRlNmNlY2UwOGEiLCJ1c2VySWQiOiI0MDUwODAyNjgifQ==</vt:lpwstr>
  </property>
  <property fmtid="{D5CDD505-2E9C-101B-9397-08002B2CF9AE}" pid="4" name="ICV">
    <vt:lpwstr>7A641CCBE21843CB9F32698064005E81_12</vt:lpwstr>
  </property>
</Properties>
</file>